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3E" w:rsidRDefault="004C0692">
      <w:pPr>
        <w:suppressLineNumbers/>
        <w:spacing w:after="2"/>
        <w:jc w:val="center"/>
      </w:pPr>
      <w:r>
        <w:rPr>
          <w:rFonts w:ascii="Arial"/>
          <w:sz w:val="18"/>
        </w:rPr>
        <w:t>HOUSE DOCKET, NO. 5054        FILED ON: 4/28/2020</w:t>
      </w:r>
    </w:p>
    <w:p w:rsidR="009A6F3E" w:rsidRDefault="004C0692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60"/>
      </w:tblGrid>
      <w:tr w:rsidR="009A6F3E">
        <w:tc>
          <w:tcPr>
            <w:tcW w:w="9500" w:type="dxa"/>
          </w:tcPr>
          <w:p w:rsidR="009A6F3E" w:rsidRDefault="009A6F3E">
            <w:pPr>
              <w:suppressLineNumbers/>
              <w:jc w:val="right"/>
              <w:rPr>
                <w:b/>
                <w:sz w:val="28"/>
              </w:rPr>
            </w:pPr>
          </w:p>
        </w:tc>
      </w:tr>
    </w:tbl>
    <w:p w:rsidR="009A6F3E" w:rsidRDefault="004C0692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:rsidR="009A6F3E" w:rsidRDefault="004C0692">
      <w:pPr>
        <w:suppressLineNumbers/>
        <w:jc w:val="center"/>
      </w:pPr>
      <w:r>
        <w:rPr>
          <w:b/>
          <w:sz w:val="20"/>
        </w:rPr>
        <w:t>_________________</w:t>
      </w:r>
    </w:p>
    <w:p w:rsidR="009A6F3E" w:rsidRDefault="004C0692">
      <w:pPr>
        <w:suppressLineNumbers/>
        <w:jc w:val="center"/>
      </w:pPr>
      <w:r>
        <w:rPr>
          <w:sz w:val="20"/>
        </w:rPr>
        <w:t>PRESENTED BY:</w:t>
      </w:r>
    </w:p>
    <w:p w:rsidR="009A6F3E" w:rsidRDefault="004C0692">
      <w:pPr>
        <w:suppressLineNumbers/>
        <w:spacing w:after="0"/>
        <w:jc w:val="center"/>
      </w:pPr>
      <w:r>
        <w:rPr>
          <w:b/>
          <w:i/>
        </w:rPr>
        <w:t>Michael S. Day</w:t>
      </w:r>
    </w:p>
    <w:p w:rsidR="009A6F3E" w:rsidRDefault="004C0692">
      <w:pPr>
        <w:suppressLineNumbers/>
        <w:jc w:val="center"/>
      </w:pPr>
      <w:r>
        <w:rPr>
          <w:b/>
          <w:sz w:val="20"/>
        </w:rPr>
        <w:t>_________________</w:t>
      </w:r>
    </w:p>
    <w:p w:rsidR="009A6F3E" w:rsidRDefault="004C0692">
      <w:pPr>
        <w:suppressLineNumbers/>
      </w:pPr>
      <w:r>
        <w:rPr>
          <w:i/>
          <w:sz w:val="20"/>
        </w:rPr>
        <w:t>To the Honorable Senate and House of Representatives of the Commonwealth of Massachusetts in General</w:t>
      </w:r>
      <w:r>
        <w:rPr>
          <w:i/>
          <w:sz w:val="20"/>
        </w:rPr>
        <w:br/>
      </w:r>
      <w:r>
        <w:rPr>
          <w:i/>
          <w:sz w:val="20"/>
        </w:rPr>
        <w:tab/>
        <w:t>Court assembled:</w:t>
      </w:r>
    </w:p>
    <w:p w:rsidR="009A6F3E" w:rsidRDefault="004C0692">
      <w:pPr>
        <w:suppressLineNumbers/>
      </w:pPr>
      <w:r>
        <w:rPr>
          <w:sz w:val="20"/>
        </w:rPr>
        <w:tab/>
        <w:t>The undersigned legislators and/or citizens respectfully petition for the adoption of the accompanying bill:</w:t>
      </w:r>
    </w:p>
    <w:p w:rsidR="009A6F3E" w:rsidRDefault="004C0692">
      <w:pPr>
        <w:suppressLineNumbers/>
        <w:spacing w:after="2"/>
        <w:jc w:val="center"/>
      </w:pPr>
      <w:r>
        <w:t>An Act relative to restaurant delivery commissions during the COVID-19 state of emergency.</w:t>
      </w:r>
    </w:p>
    <w:p w:rsidR="009A6F3E" w:rsidRDefault="004C0692">
      <w:pPr>
        <w:suppressLineNumbers/>
        <w:spacing w:before="2"/>
        <w:jc w:val="center"/>
      </w:pPr>
      <w:r>
        <w:rPr>
          <w:b/>
        </w:rPr>
        <w:t>_______________</w:t>
      </w:r>
    </w:p>
    <w:p w:rsidR="009A6F3E" w:rsidRDefault="004C0692">
      <w:pPr>
        <w:suppressLineNumbers/>
        <w:spacing w:before="2" w:after="2"/>
        <w:jc w:val="center"/>
      </w:pPr>
      <w:r>
        <w:rPr>
          <w:sz w:val="20"/>
        </w:rPr>
        <w:t>PETITION OF:</w:t>
      </w:r>
    </w:p>
    <w:p w:rsidR="009A6F3E" w:rsidRDefault="009A6F3E">
      <w:pPr>
        <w:suppressLineNumbers/>
      </w:pPr>
    </w:p>
    <w:sdt>
      <w:sdtPr>
        <w:id w:val="1"/>
      </w:sdtPr>
      <w:sdtEndPr/>
      <w:sdtContent>
        <w:tbl>
          <w:tblPr>
            <w:tblW w:w="0" w:type="auto"/>
            <w:tblBorders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4500"/>
            <w:gridCol w:w="4500"/>
          </w:tblGrid>
          <w:tr w:rsidR="009A6F3E">
            <w:tc>
              <w:tcPr>
                <w:tcW w:w="450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9A6F3E" w:rsidRDefault="004C0692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Name:</w:t>
                </w:r>
              </w:p>
            </w:tc>
            <w:tc>
              <w:tcPr>
                <w:tcW w:w="45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9A6F3E" w:rsidRDefault="004C0692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District/Address: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Michael S. Day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31st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Bud L. Williams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11th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Marcos A. Devers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16th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Maria Duaime Robinson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6th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Jonathan Hecht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29th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Mathew J. Muratore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Plymouth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Steven Ultrino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33rd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Richard M. Haggerty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30th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Jack Patrick Lewis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7th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Timothy R. Whelan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Barnstable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Joseph D. McKenna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18th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Jon Santiago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9th Suffolk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David Henry Argosky LeBoeuf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17th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Marjorie C. Decker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25th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Michael O. Moore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Second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John J. Lawn, Jr.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10th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Jay D. Livingstone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8th Suffolk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David M. Rogers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24th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lastRenderedPageBreak/>
                  <w:t>Claire D. Cronin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11th Plymouth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Aaron Vega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5th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Jason M. Lewis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Fifth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Lori A. Ehrlich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8th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John C. Velis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4th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Brendan P. Crighton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Third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Stephan Hay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3rd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Danielle W. Gregoire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4th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Carlos González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10th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Denise Provost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27th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Thomas P. Walsh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12th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John Barrett, III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Berkshire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Michelle L. Ciccolo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15th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Kathleen R. LaNatra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12th Plymouth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Gerard J. Cassidy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9th Plymouth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Lindsay N. Sabadosa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Hampshire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Michael D. Brady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Second Plymouth and Bristol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Joseph W. McGonagle, Jr.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28th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Brian W. Murray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10th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William M. Straus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10th Bristol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Elizabeth A. Malia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11th Suffolk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David K. Muradian, Jr.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9th Worcester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Mike Connolly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26th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Patricia D. Jehlen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Second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Kay Khan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11th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Susannah M. Whipps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2nd Franklin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Christine P. Barber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34th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Frank A. Moran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17th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Tram T. Nguyen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18th Essex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Sheila C. Harrington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Kenneth I. Gordon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21st Middlesex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Adrian C. Madaro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1st Suffolk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Brian M. Ashe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2nd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José F. Tosado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9th Hampden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Sal N. DiDomenico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Middlesex and Suffolk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Mindy Domb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3rd Hampshire</w:t>
                </w:r>
              </w:p>
            </w:tc>
          </w:tr>
          <w:tr w:rsidR="009A6F3E"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Andres X. Vargas</w:t>
                </w:r>
              </w:p>
            </w:tc>
            <w:tc>
              <w:tcPr>
                <w:tcW w:w="4500" w:type="dxa"/>
              </w:tcPr>
              <w:p w:rsidR="009A6F3E" w:rsidRDefault="004C0692">
                <w:pPr>
                  <w:suppressLineNumbers/>
                  <w:spacing w:after="2"/>
                </w:pPr>
                <w:r>
                  <w:rPr>
                    <w:i/>
                  </w:rPr>
                  <w:t>3rd Essex</w:t>
                </w:r>
              </w:p>
            </w:tc>
          </w:tr>
        </w:tbl>
      </w:sdtContent>
    </w:sdt>
    <w:p w:rsidR="009A6F3E" w:rsidRDefault="004C0692">
      <w:pPr>
        <w:suppressLineNumbers/>
        <w:rPr>
          <w:sz w:val="12"/>
          <w:szCs w:val="12"/>
        </w:rPr>
      </w:pPr>
      <w:r>
        <w:br w:type="page"/>
      </w:r>
    </w:p>
    <w:p w:rsidR="009A6F3E" w:rsidRDefault="004C0692">
      <w:pPr>
        <w:suppressLineNumbers/>
        <w:spacing w:after="2"/>
        <w:jc w:val="center"/>
      </w:pPr>
      <w:r>
        <w:rPr>
          <w:rFonts w:ascii="Arial"/>
          <w:sz w:val="18"/>
        </w:rPr>
        <w:lastRenderedPageBreak/>
        <w:t>HOUSE DOCKET, NO. 5054        FILED ON: 4/28/2020</w:t>
      </w:r>
    </w:p>
    <w:p w:rsidR="009A6F3E" w:rsidRDefault="004C0692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60"/>
      </w:tblGrid>
      <w:tr w:rsidR="009A6F3E">
        <w:tc>
          <w:tcPr>
            <w:tcW w:w="9500" w:type="dxa"/>
          </w:tcPr>
          <w:p w:rsidR="009A6F3E" w:rsidRDefault="004C0692">
            <w:pPr>
              <w:spacing w:after="0"/>
            </w:pPr>
            <w:r>
              <w:t>By Mr. Day of Stoneham, a petition (subject to Joint Rule 12) of Michael S. Day and others relative to restaurant delivery commissions during the COVID-19 state of emergency.  Labor and Workforce Development.</w:t>
            </w:r>
          </w:p>
        </w:tc>
      </w:tr>
    </w:tbl>
    <w:p w:rsidR="009A6F3E" w:rsidRDefault="009A6F3E">
      <w:pPr>
        <w:suppressLineNumbers/>
        <w:spacing w:after="0"/>
      </w:pPr>
    </w:p>
    <w:p w:rsidR="009A6F3E" w:rsidRDefault="004C0692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:rsidR="009A6F3E" w:rsidRDefault="009A6F3E">
      <w:pPr>
        <w:suppressLineNumbers/>
        <w:spacing w:after="0"/>
      </w:pPr>
    </w:p>
    <w:p w:rsidR="009A6F3E" w:rsidRDefault="004C0692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:rsidR="009A6F3E" w:rsidRDefault="004C0692">
      <w:pPr>
        <w:suppressLineNumbers/>
        <w:spacing w:after="0"/>
        <w:jc w:val="center"/>
      </w:pPr>
      <w:r>
        <w:rPr>
          <w:b/>
          <w:sz w:val="18"/>
        </w:rPr>
        <w:t>In the One Hundred and Ninety-First General Court</w:t>
      </w:r>
      <w:r>
        <w:rPr>
          <w:b/>
          <w:sz w:val="18"/>
        </w:rPr>
        <w:br/>
        <w:t>(2019-2020)</w:t>
      </w:r>
    </w:p>
    <w:p w:rsidR="009A6F3E" w:rsidRDefault="004C0692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:rsidR="009A6F3E" w:rsidRDefault="009A6F3E">
      <w:pPr>
        <w:suppressLineNumbers/>
        <w:spacing w:after="0"/>
      </w:pPr>
    </w:p>
    <w:p w:rsidR="009A6F3E" w:rsidRDefault="004C0692">
      <w:pPr>
        <w:suppressLineNumbers/>
        <w:spacing w:after="2"/>
      </w:pPr>
      <w:r>
        <w:t>An Act relative to restaurant delivery commissions during the COVID-19 state of emergency.</w:t>
      </w:r>
    </w:p>
    <w:p w:rsidR="009A6F3E" w:rsidRDefault="009A6F3E">
      <w:pPr>
        <w:suppressLineNumbers/>
        <w:spacing w:after="0"/>
      </w:pPr>
    </w:p>
    <w:p w:rsidR="009A6F3E" w:rsidRDefault="004C0692">
      <w:pPr>
        <w:suppressLineNumbers/>
        <w:spacing w:after="0"/>
      </w:pPr>
      <w:r>
        <w:rPr>
          <w:i/>
        </w:rPr>
        <w:tab/>
        <w:t xml:space="preserve">Whereas, </w:t>
      </w:r>
      <w:r>
        <w:t>The deferred operation of this act would tend to defeat its purpose, which is to establish forthwith a limit on the delivery charges imposed by third-party vendors on certain restaurants and other food or beverage service establishments during the governor’s COVID-19 emergency declaration, therefore it is hereby declared to be an emergency law, necessary for the immediate preservation of the public convenience.</w:t>
      </w:r>
      <w:r>
        <w:br/>
      </w:r>
    </w:p>
    <w:p w:rsidR="009A6F3E" w:rsidRDefault="004C0692">
      <w:pPr>
        <w:suppressLineNumbers/>
        <w:spacing w:after="0"/>
      </w:pPr>
      <w:r>
        <w:rPr>
          <w:i/>
          <w:sz w:val="20"/>
        </w:rPr>
        <w:tab/>
        <w:t>Be it enacted by the Senate and House of Representatives in General Court assembled, and by the authority of the same, as follows:</w:t>
      </w:r>
      <w:r>
        <w:br/>
      </w:r>
    </w:p>
    <w:p w:rsidR="009A6F3E" w:rsidRDefault="004C0692">
      <w:pPr>
        <w:spacing w:line="480" w:lineRule="auto"/>
      </w:pPr>
      <w:r>
        <w:tab/>
        <w:t>SECTION 1. As used in this act, the following words shall, unless the context clearly requires otherwise, have the following meanings:-</w:t>
      </w:r>
    </w:p>
    <w:p w:rsidR="009A6F3E" w:rsidRDefault="004C0692">
      <w:pPr>
        <w:spacing w:line="480" w:lineRule="auto"/>
      </w:pPr>
      <w:r>
        <w:tab/>
        <w:t xml:space="preserve">“Covered establishment,” a restaurant or other food or beverage service establishment offering same-day food or drink for sale in a single commercial transaction over the internet, whether directly or through a third-party delivery service, from 1 or more retail locations within the commonwealth, except a restaurant or other establishment operating more than 4 retail locations. </w:t>
      </w:r>
    </w:p>
    <w:p w:rsidR="009A6F3E" w:rsidRDefault="004C0692">
      <w:pPr>
        <w:spacing w:line="480" w:lineRule="auto"/>
      </w:pPr>
      <w:r>
        <w:tab/>
        <w:t xml:space="preserve"> </w:t>
      </w:r>
    </w:p>
    <w:p w:rsidR="009A6F3E" w:rsidRDefault="004C0692">
      <w:pPr>
        <w:spacing w:line="480" w:lineRule="auto"/>
      </w:pPr>
      <w:r>
        <w:tab/>
        <w:t>“COVID-19 emergency”, the state of emergency declared by the governor on March 10, 2020 relative to the outbreak of the 2019 novel coronavirus, also known as COVID-19.</w:t>
      </w:r>
    </w:p>
    <w:p w:rsidR="009A6F3E" w:rsidRDefault="004C0692">
      <w:pPr>
        <w:spacing w:line="480" w:lineRule="auto"/>
      </w:pPr>
      <w:r>
        <w:tab/>
        <w:t>“Online order,” an order placed by a customer through a platform provided by a third-party food delivery service for pickup or delivery in the commonwealth.</w:t>
      </w:r>
    </w:p>
    <w:p w:rsidR="009A6F3E" w:rsidRDefault="004C0692">
      <w:pPr>
        <w:spacing w:line="480" w:lineRule="auto"/>
      </w:pPr>
      <w:r>
        <w:tab/>
        <w:t>“Purchase price,” the menu price publicly offered by a covered establishment.  Purchase price shall not include any taxes, gratuities or other fees that may make up the total cost charged to the customer for an online order.</w:t>
      </w:r>
    </w:p>
    <w:p w:rsidR="009A6F3E" w:rsidRDefault="004C0692">
      <w:pPr>
        <w:spacing w:line="480" w:lineRule="auto"/>
      </w:pPr>
      <w:r>
        <w:tab/>
        <w:t>“Third-party delivery service,” any website, mobile application or other internet service or platform that offers or arranges for the sale of food and beverages prepared by, and the same-day delivery or same-day pickup of food and beverages from, no fewer than 20 separately owned and operated food service or beverage service establishments.</w:t>
      </w:r>
    </w:p>
    <w:p w:rsidR="009A6F3E" w:rsidRDefault="004C0692">
      <w:pPr>
        <w:spacing w:line="480" w:lineRule="auto"/>
      </w:pPr>
      <w:r>
        <w:tab/>
        <w:t>SECTION 2.  (a) Notwithstanding any other general or special law to the contrary, from the effective date of this act until 45 days following the termination of the COVID-19 emergency, it shall be unlawful for a food-delivery service to charge a covered establishment a fee per online order for the use of its services that totals more than 10 per cent of the purchase price of such online order.</w:t>
      </w:r>
    </w:p>
    <w:p w:rsidR="009A6F3E" w:rsidRDefault="004C0692">
      <w:pPr>
        <w:spacing w:line="480" w:lineRule="auto"/>
      </w:pPr>
      <w:r>
        <w:tab/>
        <w:t>(b) Any third-party delivery service that violates subsection (a) shall be punished by a fine of not less than $100 and shall reimburse the covered establishment for all charges collected in violation of subsection (a).</w:t>
      </w:r>
    </w:p>
    <w:sectPr w:rsidR="009A6F3E" w:rsidSect="00C57F77">
      <w:footerReference w:type="default" r:id="rId10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3E" w:rsidRDefault="002B503E" w:rsidP="009A6F3E">
      <w:pPr>
        <w:spacing w:after="0" w:line="240" w:lineRule="auto"/>
      </w:pPr>
      <w:r>
        <w:separator/>
      </w:r>
    </w:p>
  </w:endnote>
  <w:endnote w:type="continuationSeparator" w:id="0">
    <w:p w:rsidR="002B503E" w:rsidRDefault="002B503E" w:rsidP="009A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9" w:rsidRDefault="009A6F3E" w:rsidP="00F313D9">
    <w:pPr>
      <w:jc w:val="center"/>
    </w:pPr>
    <w:r>
      <w:fldChar w:fldCharType="begin"/>
    </w:r>
    <w:r w:rsidR="004C0692">
      <w:instrText xml:space="preserve"> PAGE   \* MERGEFORMAT </w:instrText>
    </w:r>
    <w:r>
      <w:fldChar w:fldCharType="separate"/>
    </w:r>
    <w:r w:rsidR="00C558DF">
      <w:rPr>
        <w:noProof/>
      </w:rPr>
      <w:t>4</w:t>
    </w:r>
    <w:r>
      <w:fldChar w:fldCharType="end"/>
    </w:r>
    <w:r w:rsidR="004C0692">
      <w:t xml:space="preserve"> of </w:t>
    </w:r>
    <w:r w:rsidR="002B503E">
      <w:fldChar w:fldCharType="begin"/>
    </w:r>
    <w:r w:rsidR="002B503E">
      <w:instrText xml:space="preserve"> SECTIONPAGES   \* MERGEFORMAT </w:instrText>
    </w:r>
    <w:r w:rsidR="002B503E">
      <w:fldChar w:fldCharType="separate"/>
    </w:r>
    <w:r w:rsidR="00E37288">
      <w:rPr>
        <w:noProof/>
      </w:rPr>
      <w:t>3</w:t>
    </w:r>
    <w:r w:rsidR="002B50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3E" w:rsidRDefault="002B503E" w:rsidP="009A6F3E">
      <w:pPr>
        <w:spacing w:after="0" w:line="240" w:lineRule="auto"/>
      </w:pPr>
      <w:r>
        <w:separator/>
      </w:r>
    </w:p>
  </w:footnote>
  <w:footnote w:type="continuationSeparator" w:id="0">
    <w:p w:rsidR="002B503E" w:rsidRDefault="002B503E" w:rsidP="009A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ED3"/>
    <w:multiLevelType w:val="multilevel"/>
    <w:tmpl w:val="96F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6455F4"/>
    <w:multiLevelType w:val="multilevel"/>
    <w:tmpl w:val="54D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C"/>
    <w:rsid w:val="001F22F1"/>
    <w:rsid w:val="002507E7"/>
    <w:rsid w:val="002B503E"/>
    <w:rsid w:val="002F70E8"/>
    <w:rsid w:val="003F483C"/>
    <w:rsid w:val="004C0692"/>
    <w:rsid w:val="004F1BC6"/>
    <w:rsid w:val="00840086"/>
    <w:rsid w:val="008C7F7F"/>
    <w:rsid w:val="009A6F3E"/>
    <w:rsid w:val="00AC4313"/>
    <w:rsid w:val="00C558DF"/>
    <w:rsid w:val="00C56B1A"/>
    <w:rsid w:val="00D2418C"/>
    <w:rsid w:val="00DD5F18"/>
    <w:rsid w:val="00E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0FB37-BBBA-4F4B-86B8-BCF259E4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E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E8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27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6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C286753AD71478301A76834F28F3B" ma:contentTypeVersion="0" ma:contentTypeDescription="Create a new document." ma:contentTypeScope="" ma:versionID="a322917965c2d5cf3b4138d3a1b53e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9FA99-AE0E-4520-B045-976FC4B24E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F919D-CCB5-4AD1-9CF6-86C1085E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CC30E5-C021-4A68-A5B2-3933C481E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Company>MA Legislature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Legislature, LAWS</dc:creator>
  <cp:lastModifiedBy>Megan</cp:lastModifiedBy>
  <cp:revision>2</cp:revision>
  <dcterms:created xsi:type="dcterms:W3CDTF">2020-05-11T19:15:00Z</dcterms:created>
  <dcterms:modified xsi:type="dcterms:W3CDTF">2020-05-11T19:15:00Z</dcterms:modified>
</cp:coreProperties>
</file>